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45" w:rsidRDefault="005D2845" w:rsidP="005D2845">
      <w:pPr>
        <w:widowControl/>
        <w:shd w:val="clear" w:color="auto" w:fill="FFFFFF"/>
        <w:spacing w:line="570" w:lineRule="atLeast"/>
        <w:jc w:val="right"/>
        <w:textAlignment w:val="baseline"/>
        <w:outlineLvl w:val="1"/>
        <w:rPr>
          <w:rFonts w:asciiTheme="minorEastAsia" w:hAnsiTheme="minorEastAsia" w:cs="宋体"/>
          <w:b/>
          <w:bCs/>
          <w:kern w:val="0"/>
          <w:sz w:val="28"/>
          <w:szCs w:val="28"/>
          <w:lang w:val="en-US"/>
        </w:rPr>
      </w:pPr>
      <w:r>
        <w:rPr>
          <w:rFonts w:asciiTheme="minorEastAsia" w:hAnsiTheme="minorEastAsia" w:cs="宋体" w:hint="eastAsia"/>
          <w:b/>
          <w:bCs/>
          <w:kern w:val="0"/>
          <w:sz w:val="28"/>
          <w:szCs w:val="28"/>
          <w:lang w:val="en-US"/>
        </w:rPr>
        <w:t>(此翻译文本仅供参考，请以法文原文为准)</w:t>
      </w:r>
    </w:p>
    <w:p w:rsidR="005D2845" w:rsidRPr="005D2845" w:rsidRDefault="005D2845" w:rsidP="004E3CEC">
      <w:pPr>
        <w:widowControl/>
        <w:shd w:val="clear" w:color="auto" w:fill="FFFFFF"/>
        <w:spacing w:line="570" w:lineRule="atLeast"/>
        <w:jc w:val="center"/>
        <w:textAlignment w:val="baseline"/>
        <w:outlineLvl w:val="1"/>
        <w:rPr>
          <w:rFonts w:ascii="黑体" w:eastAsia="黑体" w:hAnsi="黑体" w:cs="宋体" w:hint="eastAsia"/>
          <w:bCs/>
          <w:kern w:val="0"/>
          <w:sz w:val="36"/>
          <w:szCs w:val="36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line="570" w:lineRule="atLeast"/>
        <w:jc w:val="center"/>
        <w:textAlignment w:val="baseline"/>
        <w:outlineLvl w:val="1"/>
        <w:rPr>
          <w:rFonts w:ascii="黑体" w:eastAsia="黑体" w:hAnsi="黑体" w:cs="宋体"/>
          <w:bCs/>
          <w:kern w:val="0"/>
          <w:sz w:val="36"/>
          <w:szCs w:val="36"/>
          <w:lang w:val="en-US"/>
        </w:rPr>
      </w:pPr>
      <w:r w:rsidRPr="004E3CEC">
        <w:rPr>
          <w:rFonts w:ascii="黑体" w:eastAsia="黑体" w:hAnsi="黑体" w:cs="宋体" w:hint="eastAsia"/>
          <w:bCs/>
          <w:kern w:val="0"/>
          <w:sz w:val="36"/>
          <w:szCs w:val="36"/>
          <w:lang w:val="en-US"/>
        </w:rPr>
        <w:t>几内亚共和国税务细则</w:t>
      </w:r>
    </w:p>
    <w:p w:rsidR="00DF0848" w:rsidRPr="004E3CEC" w:rsidRDefault="008E52D3"/>
    <w:p w:rsidR="004E3CEC" w:rsidRPr="004E3CEC" w:rsidRDefault="004E3CEC" w:rsidP="004E3CEC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shd w:val="clear" w:color="auto" w:fill="FFFFFF"/>
          <w:lang w:val="en-US"/>
        </w:rPr>
        <w:t>1. 所得税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1.1 公司税—IS：35％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征税对象为在几内亚注册的国营和私营公司及不享受免税的法人。财务报表须在每个财政年度结束后4个月内呈报税务局。可允许连续5个财年亏损。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国营农业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合作社、非赢利性商会和协会、享受《投资法》优惠政策的企业可享受减免税。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1.2 自然人税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1.2.1 收入税—IR：收入在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100000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郎～20000000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郎，征收10％～25％；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20000000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郎以上，征收40％。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征收对象为在几内亚居住或在几从事主要活动的自然人。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外交使领馆人员免税。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lastRenderedPageBreak/>
        <w:br/>
        <w:t xml:space="preserve">　　1.2.2 工资税：收入在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30000～5000000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郎，征收10％～30％；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5000000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郎以上，递减5％。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外交使领馆人员、家庭补贴和军人津贴免税。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1.2.3 非居住民的非工资收入税：10％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按在几内亚提供服务的净收入征收。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1.2.4 工商利润税：30％（手工业者20％）。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征收对象为不缴纳公司税的个人企业。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1.2.5 非商业所得税：30％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征收对象为自由职业者和知识产权拥有者。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1.2.6 动产所得税：20％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征收对象为定期存款、国库券、股票和有价证券。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lastRenderedPageBreak/>
        <w:br/>
        <w:t xml:space="preserve">　　投资者３个月以上存款利息和在农、工、商、矿业领域的投资者免税。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1.2.7 非职业性不动产增值税：15％（如售价超过2000000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郎）。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2. 社会保险金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工资总额的1.5％用于职业再培训。征收对象为雇佣20名以上雇员的雇主。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3. 工资税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3.1 学徒说-TA：年工资总额在300000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郎以上，征收3％。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征收对象为发放工资和其他物质待遇的雇主。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享受《投资法》或特殊协议优惠政策除外。有学徒培训计划和缴纳社会保险金的雇主、政府和集体免税。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3.2 工资负担税：6％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政府和集体免税。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lastRenderedPageBreak/>
        <w:br/>
        <w:t xml:space="preserve">　　4. 财产税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4.1 地产税：不动产年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租收益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的10％；地租收益的15％。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国有或宗教建筑、学校免税。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4.2 继承和让予税：按让予者或死者与受让者或继承者的亲族关系，征收1％～10％的基础上削减50000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适用于动产或不动产的无偿转让。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4.3 注册税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4.3.1 公司契约税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征收对象为工商企业的注册资本、增加和合并的资本。征税按资本金额递减：10亿～100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亿几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郎,征收2％～1％；100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亿几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郎以上，征收0.5％。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4.3.2 公司股份让予税：转让资产额的10％。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4.3.3 动产转让税：出售为10％；出租为2％。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4.3.4 不动产转让税：出售为10％；限期出租为2％；无限期出租为10％。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4.3.5 抵押税：登记和取消抵押，征收1％；抵押和担保合同，征收1％；支付催告，征收0.5％。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4.3.6 国土和集体土地税：按租地合同金额征收。土地勘测税在颁发土地使用证时征收。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4.3.7 不动产增值税：按出售或转让不动产增值部分的25％计征。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4.4 公共合同印花税：合同额在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1000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万几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郎以下，征收1％；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1000万～1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亿几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郎，征收0.5％；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1亿～10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亿几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郎，征收0.25％；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10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亿几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郎以上，征收0.1％。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5. 福利事业税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lastRenderedPageBreak/>
        <w:br/>
        <w:t xml:space="preserve">　　5.1 增值税：18％。出口和国际运输增值税为零。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征收对象为生产商、进口商和应纳税的服务商。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当地购买或进口原料减免增值税。出售印花票、日报、食品或药品、化肥和农药、书本、二手商品免税。每月减收水费20000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郎；每月减收电费50000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郎。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缴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营业执照税者除外。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5.2 金融税：银行贷款1年以上，征收5％；其他银行业务征收13％。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5.3 保险合同税：海、河、空运险：20％；其他险：80％；人寿和养老保险：5％；其他保险：12％。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征收对象为保险公司。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5.4 附加税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指对啤酒和含酒精饮料所征收的特别税。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不含酒精饮料：0.5升以下，每瓶或罐10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郎；0.5～1升，15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含酒精饮料：0.5升以下，20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郎；0.5～1升，30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郎。烟草：5％。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5.5 财产使用税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lastRenderedPageBreak/>
        <w:br/>
        <w:t xml:space="preserve">　　5.5.1 根据从业性质征收60000～5000000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郎，按从业场所的租金，征收10％或15％。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征收对象为从事工商业、手工业和自由职业的自然人和公司。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仅雇一名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工人的手工业者和以社会或教育活动为目的的免税；工业企业和缴纳单一职业税的公司减免50％。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5.5.2 执照税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按所售饮料的种类、质量、零售规模及销售地，征收15000～150000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征收对象为销售含酒精饮料的个人和公司。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5.5.3 车辆单一税-TUV：每年征收10000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郎（摩托车］～450000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郎（载重车）。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征收对象为车辆及游艇。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使团、政府和集体、军队的车辆免税。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5.5.4 单一职业税：按上年营业额的5％征收。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5.6 其他地方税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lastRenderedPageBreak/>
        <w:br/>
        <w:t xml:space="preserve">　　5.6.1地方发展最低税：每人每年2000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征收对象为在几内亚居住的14岁～60岁的个人。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贫民、学生、公务员和军人免缴。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5.6.2 枪械税：按枪械口径，征收枪械持有者每支每年225～2000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枪械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出售商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和用于体育比赛或军事训练的枪械免缴。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6. 关税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6.1 进口税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6.1.1 进关税-DDE：7％；米、奶、书及学生用品、棉布、鞋、冰箱、办公设备、建材和新车为2％。根据到岸价计征。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享受《投资法》免税条款的公司免缴；农机具免缴。学生个人用品减免25％。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6.1.2 国税-DFE：8％；缴纳进关税的货物，此税种应征6％。根据到岸价计征。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免税范围同6.1.1。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6.1.3 增值税-TVA：见5.1。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6.1.4 附加税-SC：含酒精啤酒和饮料：50％；不含酒精饮料：20％；矿泉水：10％；车辆：按汽缸和年龄征收0％～10％；涂料和塑料管：5％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征收对象为奢侈品或当地可制造产品。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享受《投资法》优惠条款者和合营矿业公司免缴。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6.1.5 成交额税：3％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征收对象为不缴增值税的私人企业的进口和政府当地采购。缴税金额在公司税（见 1.1.1）和工商利润所得税（见1.2.4）报表中扣除，但如果公司亏损或未按期呈送报表，此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税不可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退还。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6.2 出口税-出口国税-DFS：2％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农产品和当地制造的工业品包括铝矾土免税。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6.3 其他税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6.3.1 过境税-DT：2％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lastRenderedPageBreak/>
        <w:br/>
        <w:t xml:space="preserve">　　适用于海关监管下的国际过境商品。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6.3.2 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铅封税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-仓储税-DP：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按货物种类和仓储期缴税。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6.3.3 海关登记税-TE：0.5％，按离岸价计征。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征收对象为享受《投资法》优惠条款的项目。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6.3.4 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转口税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-TRE：2％，按商品出仓日离岸价计征。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6.3.5 进口环节税-RTL：2％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使馆、经援技术组、合营矿业公司免缴。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6.3.6 仓储税-TEN：1％，按商品出仓日的到岸价计征。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6.4 原料进口税：12.5％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lastRenderedPageBreak/>
        <w:br/>
        <w:t xml:space="preserve">　　6.5 矿产品税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6.5.1 矿产品及衍生物特别税-TSPM：按国际铝矾土市场价，每吨8～9美元。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6.5.2 铝矾土消耗特别税：消耗铝矾土，每吨0.5美元；生产铝锭，每吨1.75美元。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6.6 石油产品税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6.6.1 石油产品特别说-TSPP：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固定基税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：汽油每升348.3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郎；柴油每升224.1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郎；煤油每升212.1</w:t>
      </w:r>
      <w:proofErr w:type="gramStart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几</w:t>
      </w:r>
      <w:proofErr w:type="gramEnd"/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t>郎。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享受《投资法》免税条款的企业和合营矿业公司免缴。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6.7 其他特别税</w:t>
      </w:r>
    </w:p>
    <w:p w:rsidR="004E3CEC" w:rsidRPr="004E3CEC" w:rsidRDefault="004E3CEC" w:rsidP="004E3CEC">
      <w:pPr>
        <w:widowControl/>
        <w:shd w:val="clear" w:color="auto" w:fill="FFFFFF"/>
        <w:spacing w:after="225" w:line="360" w:lineRule="atLeast"/>
        <w:textAlignment w:val="baseline"/>
        <w:rPr>
          <w:rFonts w:ascii="宋体" w:eastAsia="宋体" w:hAnsi="宋体" w:cs="宋体"/>
          <w:kern w:val="0"/>
          <w:szCs w:val="21"/>
          <w:lang w:val="en-US"/>
        </w:rPr>
      </w:pPr>
      <w:r w:rsidRPr="004E3CEC">
        <w:rPr>
          <w:rFonts w:ascii="宋体" w:eastAsia="宋体" w:hAnsi="宋体" w:cs="宋体" w:hint="eastAsia"/>
          <w:kern w:val="0"/>
          <w:szCs w:val="21"/>
          <w:lang w:val="en-US"/>
        </w:rPr>
        <w:br/>
        <w:t xml:space="preserve">　　钻石、黄金和稀有金属出口税：钻石3％；黄金和其他稀有金属5％，按实际售价计征。</w:t>
      </w:r>
    </w:p>
    <w:p w:rsidR="004E3CEC" w:rsidRPr="004E3CEC" w:rsidRDefault="004E3CEC">
      <w:pPr>
        <w:rPr>
          <w:lang w:val="en-US"/>
        </w:rPr>
      </w:pPr>
    </w:p>
    <w:sectPr w:rsidR="004E3CEC" w:rsidRPr="004E3CEC" w:rsidSect="00B32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D3" w:rsidRDefault="008E52D3" w:rsidP="005D2845">
      <w:r>
        <w:separator/>
      </w:r>
    </w:p>
  </w:endnote>
  <w:endnote w:type="continuationSeparator" w:id="0">
    <w:p w:rsidR="008E52D3" w:rsidRDefault="008E52D3" w:rsidP="005D2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D3" w:rsidRDefault="008E52D3" w:rsidP="005D2845">
      <w:r>
        <w:separator/>
      </w:r>
    </w:p>
  </w:footnote>
  <w:footnote w:type="continuationSeparator" w:id="0">
    <w:p w:rsidR="008E52D3" w:rsidRDefault="008E52D3" w:rsidP="005D2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CEC"/>
    <w:rsid w:val="00087DE1"/>
    <w:rsid w:val="00095294"/>
    <w:rsid w:val="002C6C3A"/>
    <w:rsid w:val="004E3CEC"/>
    <w:rsid w:val="005D2845"/>
    <w:rsid w:val="007B2FBE"/>
    <w:rsid w:val="008E52D3"/>
    <w:rsid w:val="00B32DA2"/>
    <w:rsid w:val="00F0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A2"/>
    <w:pPr>
      <w:widowControl w:val="0"/>
      <w:jc w:val="both"/>
    </w:pPr>
    <w:rPr>
      <w:lang w:val="fr-CA"/>
    </w:rPr>
  </w:style>
  <w:style w:type="paragraph" w:styleId="2">
    <w:name w:val="heading 2"/>
    <w:basedOn w:val="a"/>
    <w:link w:val="2Char"/>
    <w:uiPriority w:val="9"/>
    <w:qFormat/>
    <w:rsid w:val="004E3C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E3CE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3C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paragraph" w:styleId="a4">
    <w:name w:val="header"/>
    <w:basedOn w:val="a"/>
    <w:link w:val="Char"/>
    <w:uiPriority w:val="99"/>
    <w:semiHidden/>
    <w:unhideWhenUsed/>
    <w:rsid w:val="005D2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D2845"/>
    <w:rPr>
      <w:sz w:val="18"/>
      <w:szCs w:val="18"/>
      <w:lang w:val="fr-CA"/>
    </w:rPr>
  </w:style>
  <w:style w:type="paragraph" w:styleId="a5">
    <w:name w:val="footer"/>
    <w:basedOn w:val="a"/>
    <w:link w:val="Char0"/>
    <w:uiPriority w:val="99"/>
    <w:semiHidden/>
    <w:unhideWhenUsed/>
    <w:rsid w:val="005D2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D2845"/>
    <w:rPr>
      <w:sz w:val="18"/>
      <w:szCs w:val="18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2</cp:revision>
  <dcterms:created xsi:type="dcterms:W3CDTF">2014-12-13T16:32:00Z</dcterms:created>
  <dcterms:modified xsi:type="dcterms:W3CDTF">2015-03-26T18:06:00Z</dcterms:modified>
</cp:coreProperties>
</file>